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D" w:rsidRPr="00056CDD" w:rsidRDefault="00056CDD" w:rsidP="00056CDD">
      <w:pPr>
        <w:spacing w:line="240" w:lineRule="auto"/>
        <w:jc w:val="center"/>
        <w:rPr>
          <w:rFonts w:eastAsia="Times New Roman"/>
          <w:szCs w:val="24"/>
          <w:lang w:eastAsia="es-CO"/>
        </w:rPr>
      </w:pPr>
      <w:r>
        <w:rPr>
          <w:rFonts w:ascii="Segoe UI" w:eastAsia="Times New Roman" w:hAnsi="Segoe UI" w:cs="Segoe UI"/>
          <w:b/>
          <w:color w:val="0000FF"/>
          <w:sz w:val="28"/>
          <w:lang w:eastAsia="es-CO"/>
        </w:rPr>
        <w:t>O</w:t>
      </w:r>
      <w:bookmarkStart w:id="0" w:name="_GoBack"/>
      <w:bookmarkEnd w:id="0"/>
      <w:r w:rsidRPr="00056CDD">
        <w:rPr>
          <w:rFonts w:ascii="Segoe UI" w:eastAsia="Times New Roman" w:hAnsi="Segoe UI" w:cs="Segoe UI"/>
          <w:b/>
          <w:color w:val="0000FF"/>
          <w:sz w:val="28"/>
          <w:lang w:eastAsia="es-CO"/>
        </w:rPr>
        <w:t>FICIO N° 019116</w:t>
      </w:r>
    </w:p>
    <w:p w:rsidR="00056CDD" w:rsidRPr="00056CDD" w:rsidRDefault="00056CDD" w:rsidP="00056CDD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color w:val="0000FF"/>
          <w:sz w:val="28"/>
          <w:lang w:eastAsia="es-CO"/>
        </w:rPr>
        <w:t>21-03-2014</w:t>
      </w:r>
    </w:p>
    <w:p w:rsidR="00056CDD" w:rsidRPr="00056CDD" w:rsidRDefault="00056CDD" w:rsidP="00056CDD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Subdirección de Gestión Normativa y Doctrina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100208221- 000230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Señor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>JOSÉ EDILBERTO ESPITIA OCHOA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Carrera 100 No. 139 – 68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 xml:space="preserve">Ref.: </w:t>
      </w:r>
      <w:r w:rsidRPr="00056CDD">
        <w:rPr>
          <w:rFonts w:ascii="Segoe UI" w:eastAsia="Times New Roman" w:hAnsi="Segoe UI" w:cs="Segoe UI"/>
          <w:szCs w:val="24"/>
          <w:lang w:eastAsia="es-CO"/>
        </w:rPr>
        <w:t>Radicado No. 89726 del 17 de diciembre de 2013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 xml:space="preserve">Tema </w:t>
      </w:r>
      <w:r w:rsidRPr="00056CDD">
        <w:rPr>
          <w:rFonts w:ascii="Segoe UI" w:eastAsia="Times New Roman" w:hAnsi="Segoe UI" w:cs="Segoe UI"/>
          <w:szCs w:val="24"/>
          <w:lang w:eastAsia="es-CO"/>
        </w:rPr>
        <w:t>Impuesto a las ventas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 xml:space="preserve">Descriptores </w:t>
      </w:r>
      <w:r w:rsidRPr="00056CDD">
        <w:rPr>
          <w:rFonts w:ascii="Segoe UI" w:eastAsia="Times New Roman" w:hAnsi="Segoe UI" w:cs="Segoe UI"/>
          <w:szCs w:val="24"/>
          <w:lang w:eastAsia="es-CO"/>
        </w:rPr>
        <w:t>Retención en el Impuesto Sobre las Ventas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 xml:space="preserve">Fuentes formales </w:t>
      </w:r>
      <w:r w:rsidRPr="00056CDD">
        <w:rPr>
          <w:rFonts w:ascii="Segoe UI" w:eastAsia="Times New Roman" w:hAnsi="Segoe UI" w:cs="Segoe UI"/>
          <w:szCs w:val="24"/>
          <w:lang w:eastAsia="es-CO"/>
        </w:rPr>
        <w:t xml:space="preserve">Artículos </w:t>
      </w:r>
      <w:hyperlink r:id="rId5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437-1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, </w:t>
      </w:r>
      <w:hyperlink r:id="rId6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437-2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y </w:t>
      </w:r>
      <w:hyperlink r:id="rId7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437-4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del Estatuto Tributario; sentencia de la Corte Suprema de Justicia, Sala de Casación Civil, M.P. WILLIAM NAMÉN VARGAS del 8 de septiembre de 2011, Referencia: 11001-3103-026-2000-04366-01.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Atento saludo Sr. Espitia Ochoa.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De conformidad con el artículo 20 del Decreto 4048 de 2008 y la Orden Administrativa No. 000006 de 2009,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Del radicado de la referencia se desprende el siguiente problema jurídico: ¿Debe retener la siderúrgica el 100% del IVA generado en la venta de chatarra a pesar de que sus proveedores se encuentren catalogados como Grandes Contribuyentes?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 xml:space="preserve">Sobre el particular y conforme el </w:t>
      </w:r>
      <w:hyperlink r:id="rId8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artículo 437-4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del Estatuto Tributario, siempre que se trate de la venta de chatarra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 xml:space="preserve">“identificada con la nomenclatura arancelaria andina 72.04, 74.04 y 76.02”, </w:t>
      </w:r>
      <w:r w:rsidRPr="00056CDD">
        <w:rPr>
          <w:rFonts w:ascii="Segoe UI" w:eastAsia="Times New Roman" w:hAnsi="Segoe UI" w:cs="Segoe UI"/>
          <w:szCs w:val="24"/>
          <w:lang w:eastAsia="es-CO"/>
        </w:rPr>
        <w:t xml:space="preserve">el impuesto sobre las ventas generado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>“será retenido en el 100% por la siderúrgica”.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 xml:space="preserve">Por otra parte, en la comercialización de chatarra clasificada en diferentes nomenclaturas arancelarias a las señaladas por el artículo previamente citado, y que efectúen proveedores catalogados como Grandes Contribuyentes, éstos efectuarán la retención equivalente al 15% del valor del tributo, acorde a los artículos </w:t>
      </w:r>
      <w:hyperlink r:id="rId9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437-1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y </w:t>
      </w:r>
      <w:hyperlink r:id="rId10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437-2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>ibídem.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 xml:space="preserve">Finalmente es preciso manifestar que, si bien el </w:t>
      </w:r>
      <w:hyperlink r:id="rId11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artículo 437-2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del Estatuto Tributario otorga la calidad de agente retenedor a los proveedores de chatarra </w:t>
      </w:r>
      <w:r w:rsidRPr="00056CDD">
        <w:rPr>
          <w:rFonts w:ascii="Segoe UI" w:eastAsia="Times New Roman" w:hAnsi="Segoe UI" w:cs="Segoe UI"/>
          <w:szCs w:val="24"/>
          <w:lang w:eastAsia="es-CO"/>
        </w:rPr>
        <w:lastRenderedPageBreak/>
        <w:t xml:space="preserve">catalogados como Grandes Contribuyentes al igual que el </w:t>
      </w:r>
      <w:hyperlink r:id="rId12" w:tooltip="Estatuto Tributario CETA" w:history="1">
        <w:r w:rsidRPr="00056CDD">
          <w:rPr>
            <w:rFonts w:ascii="Segoe UI" w:eastAsia="Times New Roman" w:hAnsi="Segoe UI" w:cs="Segoe UI"/>
            <w:color w:val="0000FF"/>
            <w:szCs w:val="24"/>
            <w:u w:val="single"/>
            <w:lang w:eastAsia="es-CO"/>
          </w:rPr>
          <w:t>artículo 437-4</w:t>
        </w:r>
      </w:hyperlink>
      <w:r w:rsidRPr="00056CDD">
        <w:rPr>
          <w:rFonts w:ascii="Segoe UI" w:eastAsia="Times New Roman" w:hAnsi="Segoe UI" w:cs="Segoe UI"/>
          <w:szCs w:val="24"/>
          <w:lang w:eastAsia="es-CO"/>
        </w:rPr>
        <w:t xml:space="preserve">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 xml:space="preserve">ibídem </w:t>
      </w:r>
      <w:r w:rsidRPr="00056CDD">
        <w:rPr>
          <w:rFonts w:ascii="Segoe UI" w:eastAsia="Times New Roman" w:hAnsi="Segoe UI" w:cs="Segoe UI"/>
          <w:szCs w:val="24"/>
          <w:lang w:eastAsia="es-CO"/>
        </w:rPr>
        <w:t xml:space="preserve">a la siderúrgica en ciertas condiciones – advirtiéndose un posible conflicto normativo – prima la aplicación de ésta última norma conforme la regla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 xml:space="preserve">“ley especial deroga ley general” </w:t>
      </w:r>
      <w:r w:rsidRPr="00056CDD">
        <w:rPr>
          <w:rFonts w:ascii="Segoe UI" w:eastAsia="Times New Roman" w:hAnsi="Segoe UI" w:cs="Segoe UI"/>
          <w:szCs w:val="24"/>
          <w:lang w:eastAsia="es-CO"/>
        </w:rPr>
        <w:t>reconocida por la Corte Suprema de Justicia, Sala de Casación Civil, M.P. WILLIAM NAMÉN VARGAS, sentencia del 8 de septiembre de 2011, Referencia: 11001-3103-026-2000-04366-01 en los siguientes términos:</w:t>
      </w:r>
    </w:p>
    <w:p w:rsidR="00056CDD" w:rsidRPr="00056CDD" w:rsidRDefault="00056CDD" w:rsidP="00056CDD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i/>
          <w:szCs w:val="24"/>
          <w:lang w:eastAsia="es-CO"/>
        </w:rPr>
        <w:t xml:space="preserve">“(…) La especialidad, a diferencia, parte del contenido de la norma, y no de una cuestión formal, como la categoría, la fecha de promulgación, o el número del artículo que la identifica. Dependiendo del alcance de la norma en cuestión, el conflicto </w:t>
      </w:r>
      <w:r w:rsidRPr="00056CDD">
        <w:rPr>
          <w:rFonts w:ascii="Segoe UI" w:eastAsia="Times New Roman" w:hAnsi="Segoe UI" w:cs="Segoe UI"/>
          <w:b/>
          <w:i/>
          <w:szCs w:val="24"/>
          <w:lang w:eastAsia="es-CO"/>
        </w:rPr>
        <w:t xml:space="preserve">se resuelve a favor de la que tenga un mayor grado de concreción </w:t>
      </w:r>
      <w:r w:rsidRPr="00056CDD">
        <w:rPr>
          <w:rFonts w:ascii="Segoe UI" w:eastAsia="Times New Roman" w:hAnsi="Segoe UI" w:cs="Segoe UI"/>
          <w:i/>
          <w:szCs w:val="24"/>
          <w:lang w:eastAsia="es-CO"/>
        </w:rPr>
        <w:t xml:space="preserve">(…)” </w:t>
      </w:r>
      <w:r w:rsidRPr="00056CDD">
        <w:rPr>
          <w:rFonts w:ascii="Segoe UI" w:eastAsia="Times New Roman" w:hAnsi="Segoe UI" w:cs="Segoe UI"/>
          <w:szCs w:val="24"/>
          <w:lang w:eastAsia="es-CO"/>
        </w:rPr>
        <w:t>(negrilla fuera de texto).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Atentamente,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 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b/>
          <w:szCs w:val="24"/>
          <w:lang w:eastAsia="es-CO"/>
        </w:rPr>
        <w:t>LEONOR EUGENIA RUIZ DE VILLALOBOS</w:t>
      </w:r>
    </w:p>
    <w:p w:rsidR="00056CDD" w:rsidRPr="00056CDD" w:rsidRDefault="00056CDD" w:rsidP="00056CDD">
      <w:pPr>
        <w:spacing w:line="240" w:lineRule="auto"/>
        <w:rPr>
          <w:rFonts w:eastAsia="Times New Roman"/>
          <w:szCs w:val="24"/>
          <w:lang w:eastAsia="es-CO"/>
        </w:rPr>
      </w:pPr>
      <w:r w:rsidRPr="00056CDD">
        <w:rPr>
          <w:rFonts w:ascii="Segoe UI" w:eastAsia="Times New Roman" w:hAnsi="Segoe UI" w:cs="Segoe UI"/>
          <w:szCs w:val="24"/>
          <w:lang w:eastAsia="es-CO"/>
        </w:rPr>
        <w:t>Subdirectora de Gestión Normativa y Doctrina</w:t>
      </w:r>
    </w:p>
    <w:p w:rsidR="00056CDD" w:rsidRPr="00056CDD" w:rsidRDefault="00056CDD" w:rsidP="00056CD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es-CO"/>
        </w:rPr>
      </w:pPr>
      <w:r w:rsidRPr="00056CDD">
        <w:rPr>
          <w:rFonts w:eastAsia="Times New Roman"/>
          <w:szCs w:val="24"/>
          <w:lang w:eastAsia="es-CO"/>
        </w:rPr>
        <w:t> </w:t>
      </w:r>
    </w:p>
    <w:p w:rsidR="00B51D80" w:rsidRDefault="00B51D80"/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D"/>
    <w:rsid w:val="00056CDD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299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29954" TargetMode="External"/><Relationship Id="rId12" Type="http://schemas.openxmlformats.org/officeDocument/2006/relationships/hyperlink" Target="http://www.ceta.org.co/html/vista_de_un_articulo.asp?Norma=299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550" TargetMode="External"/><Relationship Id="rId11" Type="http://schemas.openxmlformats.org/officeDocument/2006/relationships/hyperlink" Target="http://www.ceta.org.co/html/vista_de_un_articulo.asp?Norma=550" TargetMode="External"/><Relationship Id="rId5" Type="http://schemas.openxmlformats.org/officeDocument/2006/relationships/hyperlink" Target="http://www.ceta.org.co/html/vista_de_un_articulo.asp?Norma=549" TargetMode="External"/><Relationship Id="rId10" Type="http://schemas.openxmlformats.org/officeDocument/2006/relationships/hyperlink" Target="http://www.ceta.org.co/html/vista_de_un_articulo.asp?Norma=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2014-05-10T19:35:00Z</dcterms:created>
  <dcterms:modified xsi:type="dcterms:W3CDTF">2014-05-10T19:36:00Z</dcterms:modified>
</cp:coreProperties>
</file>